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53" w:rsidRDefault="00566816" w:rsidP="00566816">
      <w:pPr>
        <w:pStyle w:val="3"/>
        <w:shd w:val="clear" w:color="auto" w:fill="FFFFFF"/>
        <w:spacing w:before="300" w:after="150"/>
        <w:jc w:val="center"/>
        <w:rPr>
          <w:rFonts w:ascii="Trebuchet MS" w:eastAsia="Trebuchet MS" w:hAnsi="Trebuchet MS" w:cs="Trebuchet MS"/>
          <w:b w:val="0"/>
          <w:color w:val="C00000"/>
          <w:sz w:val="44"/>
          <w:szCs w:val="44"/>
        </w:rPr>
      </w:pPr>
      <w:r>
        <w:rPr>
          <w:rFonts w:ascii="Trebuchet MS" w:eastAsia="Trebuchet MS" w:hAnsi="Trebuchet MS" w:cs="Trebuchet MS"/>
          <w:b w:val="0"/>
          <w:noProof/>
          <w:color w:val="AEAAAA"/>
          <w:sz w:val="32"/>
          <w:szCs w:val="32"/>
        </w:rPr>
        <w:drawing>
          <wp:inline distT="0" distB="0" distL="0" distR="0">
            <wp:extent cx="6299835" cy="16078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ka 1140_291_2022_NFJ-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224">
        <w:pict>
          <v:rect id="_x0000_i1025" style="width:0;height:1.5pt" o:hralign="center" o:hrstd="t" o:hr="t" fillcolor="#a0a0a0" stroked="f"/>
        </w:pict>
      </w:r>
    </w:p>
    <w:p w:rsidR="00895553" w:rsidRDefault="00566816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C00000"/>
          <w:sz w:val="44"/>
          <w:szCs w:val="44"/>
        </w:rPr>
      </w:pPr>
      <w:r>
        <w:rPr>
          <w:rFonts w:ascii="Trebuchet MS" w:eastAsia="Trebuchet MS" w:hAnsi="Trebuchet MS" w:cs="Trebuchet MS"/>
          <w:b/>
          <w:color w:val="C00000"/>
          <w:sz w:val="44"/>
          <w:szCs w:val="44"/>
        </w:rPr>
        <w:t>13 сентября 2023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10:00-10:10</w:t>
      </w:r>
    </w:p>
    <w:p w:rsidR="00895553" w:rsidRDefault="0056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Открытие конференции</w:t>
      </w:r>
      <w:r>
        <w:rPr>
          <w:rFonts w:ascii="Arial Narrow" w:eastAsia="Arial Narrow" w:hAnsi="Arial Narrow" w:cs="Arial Narrow"/>
          <w:b/>
          <w:color w:val="0070C0"/>
          <w:sz w:val="28"/>
          <w:szCs w:val="28"/>
        </w:rPr>
        <w:br/>
      </w: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Приветственное слово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rPr>
          <w:rFonts w:ascii="Trebuchet MS" w:eastAsia="Trebuchet MS" w:hAnsi="Trebuchet MS" w:cs="Trebuchet MS"/>
          <w:i/>
          <w:color w:val="808080"/>
        </w:rPr>
        <w:t xml:space="preserve">Османов Исмаил Магомедович - д.м.н., профессор, главный врач ГБУЗ «Детская городская клиническая больница им. З.А. </w:t>
      </w:r>
      <w:proofErr w:type="spellStart"/>
      <w:r>
        <w:rPr>
          <w:rFonts w:ascii="Trebuchet MS" w:eastAsia="Trebuchet MS" w:hAnsi="Trebuchet MS" w:cs="Trebuchet MS"/>
          <w:i/>
          <w:color w:val="808080"/>
        </w:rPr>
        <w:t>Башляевой</w:t>
      </w:r>
      <w:proofErr w:type="spellEnd"/>
      <w:r>
        <w:rPr>
          <w:rFonts w:ascii="Trebuchet MS" w:eastAsia="Trebuchet MS" w:hAnsi="Trebuchet MS" w:cs="Trebuchet MS"/>
          <w:i/>
          <w:color w:val="808080"/>
        </w:rPr>
        <w:t xml:space="preserve"> ДЗМ», главный педиатр Департамента здравоохранения г. Москвы, главный внештатный детский специалист нефролог ДЗ г. Москвы, заслуженный врач Российской Федерации, заслуженный врач г. Москвы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rPr>
          <w:rFonts w:ascii="Trebuchet MS" w:eastAsia="Trebuchet MS" w:hAnsi="Trebuchet MS" w:cs="Trebuchet MS"/>
          <w:i/>
          <w:color w:val="808080"/>
        </w:rPr>
        <w:t>Захарова Ирина Николаевна - д.м.н., профессор, заведующая кафедрой педиатрии им. академика Г. Н. Сперанского ФГБОУ ДПО РМАНПО МЗ РФ, заслуженный врач России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AC0224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895553" w:rsidRDefault="00566816">
      <w:pPr>
        <w:spacing w:after="0" w:line="240" w:lineRule="auto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10:10-11:20</w:t>
      </w:r>
    </w:p>
    <w:p w:rsidR="00895553" w:rsidRDefault="00566816">
      <w:pPr>
        <w:spacing w:after="0" w:line="240" w:lineRule="auto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Диагностика и лечение заболеваний ЛОР-органов у детей</w:t>
      </w:r>
    </w:p>
    <w:p w:rsidR="00895553" w:rsidRDefault="00566816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У ребенка заложенность носа: что должен назначить педиатр?</w:t>
      </w:r>
      <w:r>
        <w:rPr>
          <w:color w:val="000000"/>
        </w:rP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*При поддержке компании ООО «</w:t>
      </w:r>
      <w:proofErr w:type="spellStart"/>
      <w:r>
        <w:rPr>
          <w:i/>
          <w:color w:val="000000"/>
        </w:rPr>
        <w:t>Русфик</w:t>
      </w:r>
      <w:proofErr w:type="spellEnd"/>
      <w:r>
        <w:rPr>
          <w:i/>
          <w:color w:val="000000"/>
        </w:rPr>
        <w:t>»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Захарова И.Н.</w:t>
      </w:r>
      <w:r>
        <w:rPr>
          <w:color w:val="000000"/>
        </w:rPr>
        <w:t xml:space="preserve"> (15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Муколитическая</w:t>
      </w:r>
      <w:proofErr w:type="spellEnd"/>
      <w:r>
        <w:rPr>
          <w:color w:val="000000"/>
        </w:rPr>
        <w:t xml:space="preserve"> терапия при заболеваниях органов дыхания у детей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*При поддержке ООО «</w:t>
      </w:r>
      <w:proofErr w:type="spellStart"/>
      <w:r>
        <w:rPr>
          <w:i/>
          <w:color w:val="000000"/>
        </w:rPr>
        <w:t>ОпеллаХелскеа</w:t>
      </w:r>
      <w:proofErr w:type="spellEnd"/>
      <w:r>
        <w:rPr>
          <w:i/>
          <w:color w:val="000000"/>
        </w:rPr>
        <w:t>»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Заплатников А.Л.</w:t>
      </w:r>
      <w:r>
        <w:rPr>
          <w:color w:val="000000"/>
        </w:rPr>
        <w:t xml:space="preserve"> (30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Наружный отит у детей – может лечить педиатр?</w:t>
      </w:r>
      <w:r>
        <w:rPr>
          <w:color w:val="000000"/>
        </w:rP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 xml:space="preserve">*При поддержке компании </w:t>
      </w:r>
      <w:proofErr w:type="spellStart"/>
      <w:r>
        <w:rPr>
          <w:i/>
          <w:color w:val="000000"/>
        </w:rPr>
        <w:t>Сентисс</w:t>
      </w:r>
      <w:proofErr w:type="spellEnd"/>
      <w:r>
        <w:rPr>
          <w:color w:val="000000"/>
        </w:rP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Захарова И.Н.</w:t>
      </w:r>
      <w:r>
        <w:rPr>
          <w:color w:val="000000"/>
        </w:rPr>
        <w:t xml:space="preserve"> (15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Дискуссия (10 мин.)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AC0224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pict>
          <v:rect id="_x0000_i1027" style="width:0;height:1.5pt" o:hralign="center" o:hrstd="t" o:hr="t" fillcolor="#a0a0a0" stroked="f"/>
        </w:pic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 xml:space="preserve">11:30-12:30 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Психическое здоровье ребенка</w:t>
      </w:r>
    </w:p>
    <w:p w:rsidR="00895553" w:rsidRDefault="00566816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spacing w:after="0" w:line="240" w:lineRule="auto"/>
        <w:jc w:val="both"/>
      </w:pPr>
      <w:r>
        <w:t xml:space="preserve">Начался учебный год! Как избежать хроническое психоэмоциональное напряжение у детей? </w:t>
      </w:r>
    </w:p>
    <w:p w:rsidR="00895553" w:rsidRDefault="00566816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lastRenderedPageBreak/>
        <w:t>Творогова</w:t>
      </w:r>
      <w:proofErr w:type="spellEnd"/>
      <w:r>
        <w:rPr>
          <w:b/>
        </w:rPr>
        <w:t xml:space="preserve"> Т.М. </w:t>
      </w:r>
      <w:r>
        <w:t>(25 мин.)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Вопросы диагностики и терапии дефицита магния у детей разного возраста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*При поддержке ООО «</w:t>
      </w:r>
      <w:proofErr w:type="spellStart"/>
      <w:r>
        <w:rPr>
          <w:i/>
          <w:color w:val="000000"/>
        </w:rPr>
        <w:t>ОпеллаХелскеа</w:t>
      </w:r>
      <w:proofErr w:type="spellEnd"/>
      <w:r>
        <w:rPr>
          <w:i/>
          <w:color w:val="000000"/>
        </w:rPr>
        <w:t>»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Творогова</w:t>
      </w:r>
      <w:proofErr w:type="spellEnd"/>
      <w:r>
        <w:rPr>
          <w:b/>
          <w:color w:val="000000"/>
        </w:rPr>
        <w:t xml:space="preserve"> Т.М.</w:t>
      </w:r>
      <w:r>
        <w:rPr>
          <w:color w:val="000000"/>
        </w:rPr>
        <w:t xml:space="preserve"> (30 мин.)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Дискуссия (5 мин).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</w:p>
    <w:p w:rsidR="00895553" w:rsidRDefault="00AC0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pict>
          <v:rect id="_x0000_i1028" style="width:0;height:1.5pt" o:hralign="center" o:hrstd="t" o:hr="t" fillcolor="#a0a0a0" stroked="f"/>
        </w:pic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12:40-14:30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Разбор клинических случаев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spacing w:after="0" w:line="240" w:lineRule="auto"/>
      </w:pPr>
      <w:r>
        <w:t>Профилактика детской инвалидности - важнейшая задача в работе педиатра</w:t>
      </w:r>
      <w:r>
        <w:tab/>
      </w:r>
    </w:p>
    <w:p w:rsidR="00895553" w:rsidRDefault="00566816">
      <w:pPr>
        <w:spacing w:after="0" w:line="240" w:lineRule="auto"/>
      </w:pPr>
      <w:r>
        <w:rPr>
          <w:b/>
        </w:rPr>
        <w:t>Мальцев С.В.</w:t>
      </w:r>
      <w:r>
        <w:t xml:space="preserve"> (20 мин.)</w:t>
      </w:r>
    </w:p>
    <w:p w:rsidR="00895553" w:rsidRDefault="00895553">
      <w:pPr>
        <w:spacing w:after="0" w:line="240" w:lineRule="auto"/>
        <w:rPr>
          <w:rFonts w:ascii="Trebuchet MS" w:eastAsia="Trebuchet MS" w:hAnsi="Trebuchet MS" w:cs="Trebuchet MS"/>
        </w:rPr>
      </w:pPr>
    </w:p>
    <w:p w:rsidR="00895553" w:rsidRDefault="00566816">
      <w:pPr>
        <w:spacing w:after="0" w:line="240" w:lineRule="auto"/>
      </w:pPr>
      <w:r>
        <w:rPr>
          <w:rFonts w:ascii="Trebuchet MS" w:eastAsia="Trebuchet MS" w:hAnsi="Trebuchet MS" w:cs="Trebuchet MS"/>
        </w:rPr>
        <w:t>«Г</w:t>
      </w:r>
      <w:r>
        <w:t>лубокая венозная линия»: показания, сомнения, страхи, осложнения. Разбор клинического случая</w:t>
      </w:r>
    </w:p>
    <w:p w:rsidR="00895553" w:rsidRDefault="00566816">
      <w:pPr>
        <w:spacing w:after="0" w:line="240" w:lineRule="auto"/>
        <w:rPr>
          <w:b/>
        </w:rPr>
      </w:pPr>
      <w:proofErr w:type="spellStart"/>
      <w:r>
        <w:rPr>
          <w:b/>
        </w:rPr>
        <w:t>Горяйнова</w:t>
      </w:r>
      <w:proofErr w:type="spellEnd"/>
      <w:r>
        <w:rPr>
          <w:b/>
        </w:rPr>
        <w:t xml:space="preserve"> А.Н., </w:t>
      </w:r>
      <w:proofErr w:type="spellStart"/>
      <w:r>
        <w:t>Анцупова</w:t>
      </w:r>
      <w:proofErr w:type="spellEnd"/>
      <w:r>
        <w:t xml:space="preserve"> М.А., </w:t>
      </w:r>
      <w:proofErr w:type="spellStart"/>
      <w:r>
        <w:t>Чурносова</w:t>
      </w:r>
      <w:proofErr w:type="spellEnd"/>
      <w:r>
        <w:t xml:space="preserve"> М.А., Юдина А.Е., </w:t>
      </w:r>
      <w:proofErr w:type="spellStart"/>
      <w:r>
        <w:t>Россаус</w:t>
      </w:r>
      <w:proofErr w:type="spellEnd"/>
      <w:r>
        <w:t xml:space="preserve"> Е.В., </w:t>
      </w:r>
      <w:proofErr w:type="spellStart"/>
      <w:r>
        <w:t>Молодкина</w:t>
      </w:r>
      <w:proofErr w:type="spellEnd"/>
      <w:r>
        <w:t xml:space="preserve"> И.И. (20 мин.)</w:t>
      </w:r>
    </w:p>
    <w:p w:rsidR="00895553" w:rsidRDefault="00895553">
      <w:pPr>
        <w:spacing w:after="0" w:line="240" w:lineRule="auto"/>
      </w:pPr>
    </w:p>
    <w:p w:rsidR="00895553" w:rsidRDefault="00566816">
      <w:pPr>
        <w:spacing w:after="0" w:line="240" w:lineRule="auto"/>
      </w:pPr>
      <w:r>
        <w:t>Новорожденные и дети раннего возраста: и снова НЕФРОКАЛЬЦИНОЗ! Анализ клинических случаев</w:t>
      </w:r>
    </w:p>
    <w:p w:rsidR="00895553" w:rsidRDefault="00566816">
      <w:pPr>
        <w:spacing w:after="0" w:line="240" w:lineRule="auto"/>
      </w:pPr>
      <w:proofErr w:type="spellStart"/>
      <w:r>
        <w:rPr>
          <w:b/>
        </w:rPr>
        <w:t>Горяйнова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А.Н.,</w:t>
      </w:r>
      <w:r>
        <w:t>Тамбиева</w:t>
      </w:r>
      <w:proofErr w:type="spellEnd"/>
      <w:r>
        <w:t xml:space="preserve"> Е.В., </w:t>
      </w:r>
      <w:proofErr w:type="spellStart"/>
      <w:r>
        <w:t>Бекмурзаева</w:t>
      </w:r>
      <w:proofErr w:type="spellEnd"/>
      <w:r>
        <w:t xml:space="preserve"> Г.Б., Шестериков Н.В., Иванина И.В. (20 мин.)</w:t>
      </w:r>
    </w:p>
    <w:p w:rsidR="00895553" w:rsidRDefault="00895553">
      <w:pPr>
        <w:spacing w:after="0" w:line="240" w:lineRule="auto"/>
      </w:pPr>
    </w:p>
    <w:p w:rsidR="00895553" w:rsidRDefault="00566816">
      <w:pPr>
        <w:spacing w:after="0" w:line="240" w:lineRule="auto"/>
      </w:pPr>
      <w:r>
        <w:t>ТЭЛА у ребенка. Разбор клинического случая</w:t>
      </w:r>
      <w:r>
        <w:tab/>
      </w:r>
    </w:p>
    <w:p w:rsidR="00895553" w:rsidRDefault="00566816">
      <w:pPr>
        <w:spacing w:after="0" w:line="240" w:lineRule="auto"/>
      </w:pPr>
      <w:proofErr w:type="spellStart"/>
      <w:r>
        <w:rPr>
          <w:b/>
        </w:rPr>
        <w:t>Сугян</w:t>
      </w:r>
      <w:proofErr w:type="spellEnd"/>
      <w:r>
        <w:rPr>
          <w:b/>
        </w:rPr>
        <w:t xml:space="preserve"> Н.Г.</w:t>
      </w:r>
      <w:r>
        <w:t xml:space="preserve"> (20 мин.)</w:t>
      </w:r>
      <w:r>
        <w:tab/>
      </w:r>
    </w:p>
    <w:p w:rsidR="00895553" w:rsidRDefault="00895553">
      <w:pPr>
        <w:spacing w:after="0" w:line="240" w:lineRule="auto"/>
      </w:pPr>
    </w:p>
    <w:p w:rsidR="00895553" w:rsidRDefault="00566816">
      <w:pPr>
        <w:spacing w:after="0" w:line="240" w:lineRule="auto"/>
      </w:pPr>
      <w:r>
        <w:t>Рецидивирующий фурункулез: этапы диагностическая поиска</w:t>
      </w:r>
      <w:r>
        <w:tab/>
      </w:r>
    </w:p>
    <w:p w:rsidR="00895553" w:rsidRDefault="00566816">
      <w:pPr>
        <w:spacing w:after="0" w:line="240" w:lineRule="auto"/>
      </w:pPr>
      <w:r>
        <w:rPr>
          <w:b/>
        </w:rPr>
        <w:t>Дмитриева Ю.А.</w:t>
      </w:r>
      <w:r>
        <w:t xml:space="preserve"> (20 мин.)</w:t>
      </w:r>
    </w:p>
    <w:p w:rsidR="00895553" w:rsidRDefault="00895553">
      <w:pPr>
        <w:spacing w:after="0" w:line="240" w:lineRule="auto"/>
      </w:pPr>
    </w:p>
    <w:p w:rsidR="00895553" w:rsidRDefault="00566816">
      <w:pPr>
        <w:spacing w:after="0" w:line="240" w:lineRule="auto"/>
      </w:pPr>
      <w:r>
        <w:t>Дискуссия (10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</w:p>
    <w:p w:rsidR="00895553" w:rsidRDefault="00AC0224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 xml:space="preserve">14:30-16:00 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Ранняя диагностика нервно-мышечных заболеваний в практике педиатра</w:t>
      </w:r>
    </w:p>
    <w:p w:rsidR="00895553" w:rsidRDefault="00566816">
      <w:pPr>
        <w:spacing w:after="0" w:line="240" w:lineRule="auto"/>
        <w:jc w:val="both"/>
        <w:rPr>
          <w:i/>
        </w:rPr>
      </w:pPr>
      <w:r>
        <w:rPr>
          <w:i/>
        </w:rPr>
        <w:t xml:space="preserve">*При поддержке компании АО </w:t>
      </w:r>
      <w:proofErr w:type="spellStart"/>
      <w:r>
        <w:rPr>
          <w:i/>
        </w:rPr>
        <w:t>Рош</w:t>
      </w:r>
      <w:proofErr w:type="spellEnd"/>
      <w:r>
        <w:rPr>
          <w:i/>
        </w:rPr>
        <w:t xml:space="preserve"> Москва </w:t>
      </w:r>
    </w:p>
    <w:p w:rsidR="00895553" w:rsidRDefault="00566816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i/>
          <w:color w:val="808080"/>
        </w:rPr>
        <w:t>Модераторы: Артемьева С.Б., Захарова И.Н.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spacing w:after="0" w:line="240" w:lineRule="auto"/>
        <w:jc w:val="both"/>
      </w:pPr>
      <w:r>
        <w:t xml:space="preserve">Увидеть невидимку: дифференциальная диагностика нейромышечных заболеваний на примере мышечной дистрофии </w:t>
      </w:r>
      <w:proofErr w:type="spellStart"/>
      <w:r>
        <w:t>Дюшенна</w:t>
      </w:r>
      <w:proofErr w:type="spellEnd"/>
      <w:r>
        <w:t xml:space="preserve"> для врачей первичного звена</w:t>
      </w:r>
    </w:p>
    <w:p w:rsidR="00895553" w:rsidRDefault="00566816">
      <w:pPr>
        <w:spacing w:after="0" w:line="240" w:lineRule="auto"/>
        <w:jc w:val="both"/>
      </w:pPr>
      <w:r>
        <w:rPr>
          <w:b/>
        </w:rPr>
        <w:t>Артемьева С.Б.</w:t>
      </w:r>
      <w:r>
        <w:t xml:space="preserve"> (20 мин.)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spacing w:after="0" w:line="240" w:lineRule="auto"/>
        <w:jc w:val="both"/>
      </w:pPr>
      <w:r>
        <w:t xml:space="preserve">Разбор клинического случая мышечной дистрофии </w:t>
      </w:r>
      <w:proofErr w:type="spellStart"/>
      <w:r>
        <w:t>Дюшенна</w:t>
      </w:r>
      <w:proofErr w:type="spellEnd"/>
      <w:r>
        <w:t>. На что обратить внимание?</w:t>
      </w:r>
    </w:p>
    <w:p w:rsidR="00895553" w:rsidRDefault="00566816">
      <w:pPr>
        <w:spacing w:after="0" w:line="240" w:lineRule="auto"/>
        <w:jc w:val="both"/>
      </w:pPr>
      <w:proofErr w:type="spellStart"/>
      <w:r>
        <w:rPr>
          <w:b/>
        </w:rPr>
        <w:t>Кекеева</w:t>
      </w:r>
      <w:proofErr w:type="spellEnd"/>
      <w:r>
        <w:rPr>
          <w:b/>
        </w:rPr>
        <w:t xml:space="preserve"> Т.Н.</w:t>
      </w:r>
      <w:r>
        <w:t xml:space="preserve"> (20 мин.)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spacing w:after="0" w:line="240" w:lineRule="auto"/>
        <w:jc w:val="both"/>
      </w:pPr>
      <w:r>
        <w:t>Основные аспекты диагностики СМА у детей</w:t>
      </w:r>
    </w:p>
    <w:p w:rsidR="00895553" w:rsidRDefault="00566816">
      <w:pPr>
        <w:spacing w:after="0" w:line="240" w:lineRule="auto"/>
        <w:jc w:val="both"/>
      </w:pPr>
      <w:proofErr w:type="spellStart"/>
      <w:r>
        <w:rPr>
          <w:b/>
        </w:rPr>
        <w:t>Шаркова</w:t>
      </w:r>
      <w:proofErr w:type="spellEnd"/>
      <w:r>
        <w:rPr>
          <w:b/>
        </w:rPr>
        <w:t xml:space="preserve"> И.В.</w:t>
      </w:r>
      <w:r>
        <w:t xml:space="preserve"> (20 мин.)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spacing w:after="0" w:line="240" w:lineRule="auto"/>
        <w:jc w:val="both"/>
      </w:pPr>
      <w:r>
        <w:t>СМА у детей: разбор клинических случаев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proofErr w:type="spellStart"/>
      <w:r>
        <w:rPr>
          <w:b/>
        </w:rPr>
        <w:t>Печатникова</w:t>
      </w:r>
      <w:proofErr w:type="spellEnd"/>
      <w:r>
        <w:rPr>
          <w:b/>
        </w:rPr>
        <w:t xml:space="preserve"> Н.Л.</w:t>
      </w:r>
      <w:r>
        <w:t xml:space="preserve"> (20 мин.)</w:t>
      </w:r>
      <w:r>
        <w:tab/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t>Дискуссия (10 мин.)</w:t>
      </w:r>
    </w:p>
    <w:p w:rsidR="00895553" w:rsidRDefault="00895553">
      <w:pPr>
        <w:spacing w:after="0" w:line="240" w:lineRule="auto"/>
      </w:pPr>
    </w:p>
    <w:p w:rsidR="00895553" w:rsidRDefault="00AC0224">
      <w:pPr>
        <w:spacing w:after="0" w:line="240" w:lineRule="auto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lastRenderedPageBreak/>
        <w:pict>
          <v:rect id="_x0000_i1030" style="width:0;height:1.5pt" o:hralign="center" o:hrstd="t" o:hr="t" fillcolor="#a0a0a0" stroked="f"/>
        </w:pict>
      </w:r>
    </w:p>
    <w:p w:rsidR="00895553" w:rsidRDefault="00566816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C00000"/>
          <w:sz w:val="44"/>
          <w:szCs w:val="44"/>
        </w:rPr>
      </w:pPr>
      <w:r>
        <w:rPr>
          <w:rFonts w:ascii="Trebuchet MS" w:eastAsia="Trebuchet MS" w:hAnsi="Trebuchet MS" w:cs="Trebuchet MS"/>
          <w:b/>
          <w:color w:val="C00000"/>
          <w:sz w:val="44"/>
          <w:szCs w:val="44"/>
        </w:rPr>
        <w:t>14 сентября 2023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10:00-11:30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Детская аллергология</w:t>
      </w:r>
      <w:bookmarkStart w:id="1" w:name="_GoBack"/>
      <w:bookmarkEnd w:id="1"/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Атопический</w:t>
      </w:r>
      <w:proofErr w:type="spellEnd"/>
      <w:r>
        <w:rPr>
          <w:color w:val="000000"/>
        </w:rPr>
        <w:t xml:space="preserve"> дерматит. Фокус на гормональную терапию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*При поддержке компании Байер 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Захарова И.Н.</w:t>
      </w:r>
      <w:r>
        <w:rPr>
          <w:color w:val="000000"/>
        </w:rPr>
        <w:t xml:space="preserve"> (20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Когда пищевая аллергия мешает добиться положительного эффекта от гормонотерапии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Холодова И.Н.,</w:t>
      </w:r>
      <w:r>
        <w:rPr>
          <w:color w:val="000000"/>
        </w:rPr>
        <w:t xml:space="preserve"> Полякова Ж.В., Скоробогатова Е.В. (25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Подходы к ведению детей с аллергическим ринитом и крапивницей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*При поддержке ООО «</w:t>
      </w:r>
      <w:proofErr w:type="spellStart"/>
      <w:r>
        <w:rPr>
          <w:i/>
          <w:color w:val="000000"/>
        </w:rPr>
        <w:t>ОпеллаХелскеа</w:t>
      </w:r>
      <w:proofErr w:type="spellEnd"/>
      <w:r>
        <w:rPr>
          <w:i/>
          <w:color w:val="000000"/>
        </w:rPr>
        <w:t>»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Булгакова В.А.</w:t>
      </w:r>
      <w:r>
        <w:rPr>
          <w:color w:val="000000"/>
        </w:rPr>
        <w:t xml:space="preserve"> (30 мин.)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Дискуссия (15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AC0224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pict>
          <v:rect id="_x0000_i1031" style="width:0;height:1.5pt" o:hralign="center" o:hrstd="t" o:hr="t" fillcolor="#a0a0a0" stroked="f"/>
        </w:pic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11:40-14:20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Дифференциальный диагноз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Как распознать педиатру «маски» детского туберкулеза?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</w:rPr>
        <w:t>*</w:t>
      </w:r>
      <w:r>
        <w:rPr>
          <w:i/>
          <w:color w:val="000000"/>
        </w:rPr>
        <w:t xml:space="preserve">При поддержке компании </w:t>
      </w:r>
      <w:proofErr w:type="spellStart"/>
      <w:r>
        <w:rPr>
          <w:i/>
          <w:color w:val="000000"/>
        </w:rPr>
        <w:t>Фармлайн</w:t>
      </w:r>
      <w:proofErr w:type="spellEnd"/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Голованова Н.Ю.</w:t>
      </w:r>
      <w:r>
        <w:rPr>
          <w:color w:val="000000"/>
        </w:rPr>
        <w:t xml:space="preserve"> (15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566816">
      <w:pPr>
        <w:spacing w:after="0" w:line="240" w:lineRule="auto"/>
      </w:pPr>
      <w:r>
        <w:t xml:space="preserve">Ошибки диагностики на первичном этапе при редких клинических состояниях: первичная кишечная </w:t>
      </w:r>
      <w:proofErr w:type="spellStart"/>
      <w:r>
        <w:t>лимфангиэктазия</w:t>
      </w:r>
      <w:proofErr w:type="spellEnd"/>
      <w:r>
        <w:t xml:space="preserve">( </w:t>
      </w:r>
      <w:proofErr w:type="spellStart"/>
      <w:r>
        <w:t>болезньВальдмана</w:t>
      </w:r>
      <w:proofErr w:type="spellEnd"/>
      <w:r>
        <w:t xml:space="preserve">) и синдром </w:t>
      </w:r>
      <w:proofErr w:type="spellStart"/>
      <w:r>
        <w:t>Гризеля</w:t>
      </w:r>
      <w:proofErr w:type="spellEnd"/>
    </w:p>
    <w:p w:rsidR="00895553" w:rsidRDefault="00566816">
      <w:pPr>
        <w:spacing w:after="0" w:line="240" w:lineRule="auto"/>
      </w:pPr>
      <w:r>
        <w:rPr>
          <w:b/>
        </w:rPr>
        <w:t xml:space="preserve">Геворкян А.К., </w:t>
      </w:r>
      <w:r>
        <w:t>Сурков А.Н. (25 мин.)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«Взрослые» диагнозы у детей</w:t>
      </w:r>
      <w:r>
        <w:rPr>
          <w:color w:val="000000"/>
        </w:rP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Сугян</w:t>
      </w:r>
      <w:proofErr w:type="spellEnd"/>
      <w:r>
        <w:rPr>
          <w:b/>
          <w:color w:val="000000"/>
        </w:rPr>
        <w:t xml:space="preserve"> Н.Г.</w:t>
      </w:r>
      <w:r>
        <w:rPr>
          <w:color w:val="000000"/>
        </w:rPr>
        <w:t xml:space="preserve"> (20 мин.)</w:t>
      </w:r>
      <w:r>
        <w:rPr>
          <w:color w:val="000000"/>
        </w:rPr>
        <w:tab/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Пеленочный дерматит. Дифференциальный диагноз. Лечение и профилактика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*При поддержке компании Байер 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Дмитриева Ю.А.</w:t>
      </w:r>
      <w:r>
        <w:rPr>
          <w:color w:val="000000"/>
        </w:rPr>
        <w:t xml:space="preserve"> (20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Сердечные проблемы печени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Борзакова</w:t>
      </w:r>
      <w:proofErr w:type="spellEnd"/>
      <w:r>
        <w:rPr>
          <w:b/>
          <w:color w:val="000000"/>
        </w:rPr>
        <w:t xml:space="preserve"> С.Н.,</w:t>
      </w:r>
      <w:r>
        <w:rPr>
          <w:color w:val="000000"/>
        </w:rPr>
        <w:t xml:space="preserve"> Окулова О.А., </w:t>
      </w:r>
      <w:proofErr w:type="spellStart"/>
      <w:r>
        <w:rPr>
          <w:color w:val="000000"/>
        </w:rPr>
        <w:t>Тележникова</w:t>
      </w:r>
      <w:proofErr w:type="spellEnd"/>
      <w:r>
        <w:rPr>
          <w:color w:val="000000"/>
        </w:rPr>
        <w:t xml:space="preserve"> Н.Д. (20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proofErr w:type="spellStart"/>
      <w:r>
        <w:rPr>
          <w:highlight w:val="white"/>
        </w:rPr>
        <w:t>Микробиота</w:t>
      </w:r>
      <w:proofErr w:type="spellEnd"/>
      <w:r>
        <w:rPr>
          <w:highlight w:val="white"/>
        </w:rPr>
        <w:t xml:space="preserve"> полости рта</w:t>
      </w:r>
    </w:p>
    <w:p w:rsidR="00895553" w:rsidRDefault="00566816">
      <w:pPr>
        <w:spacing w:after="0" w:line="240" w:lineRule="auto"/>
        <w:jc w:val="both"/>
        <w:rPr>
          <w:highlight w:val="yellow"/>
        </w:rPr>
      </w:pPr>
      <w:r>
        <w:rPr>
          <w:i/>
        </w:rPr>
        <w:t>*При поддержке компании “</w:t>
      </w:r>
      <w:proofErr w:type="spellStart"/>
      <w:r>
        <w:rPr>
          <w:i/>
        </w:rPr>
        <w:t>Санфарма</w:t>
      </w:r>
      <w:proofErr w:type="spellEnd"/>
      <w:r>
        <w:rPr>
          <w:i/>
        </w:rPr>
        <w:t>”</w:t>
      </w:r>
    </w:p>
    <w:p w:rsidR="00895553" w:rsidRDefault="00566816">
      <w:pPr>
        <w:spacing w:after="0" w:line="240" w:lineRule="auto"/>
        <w:jc w:val="both"/>
      </w:pPr>
      <w:r>
        <w:rPr>
          <w:b/>
        </w:rPr>
        <w:t xml:space="preserve">Захарова И.Н. </w:t>
      </w:r>
      <w:r>
        <w:t>(20 мин.)</w:t>
      </w:r>
    </w:p>
    <w:p w:rsidR="00895553" w:rsidRDefault="00895553">
      <w:pPr>
        <w:spacing w:after="0" w:line="240" w:lineRule="auto"/>
        <w:jc w:val="both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Сочетанная аутоиммунная патология у ребенка с синдромом Дауна</w:t>
      </w:r>
      <w:r>
        <w:rPr>
          <w:color w:val="000000"/>
        </w:rP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Дмитриева Ю.А.,</w:t>
      </w:r>
      <w:r>
        <w:rPr>
          <w:color w:val="000000"/>
        </w:rPr>
        <w:t xml:space="preserve"> Вор</w:t>
      </w:r>
      <w:r>
        <w:t>о</w:t>
      </w:r>
      <w:r>
        <w:rPr>
          <w:color w:val="000000"/>
        </w:rPr>
        <w:t xml:space="preserve">бьева А.С., Радченко Е.Р., </w:t>
      </w:r>
      <w:proofErr w:type="spellStart"/>
      <w:r>
        <w:rPr>
          <w:color w:val="000000"/>
        </w:rPr>
        <w:t>Кошурникова</w:t>
      </w:r>
      <w:proofErr w:type="spellEnd"/>
      <w:r>
        <w:rPr>
          <w:color w:val="000000"/>
        </w:rPr>
        <w:t xml:space="preserve"> А.С., Епифанова Е.И. (20 мин.)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Анемия у девочки 17 лет: в чем причина?</w:t>
      </w:r>
      <w:r>
        <w:rPr>
          <w:color w:val="000000"/>
        </w:rPr>
        <w:tab/>
      </w:r>
    </w:p>
    <w:p w:rsidR="00895553" w:rsidRDefault="00566816">
      <w:pPr>
        <w:spacing w:after="0" w:line="240" w:lineRule="auto"/>
        <w:jc w:val="both"/>
      </w:pPr>
      <w:r>
        <w:rPr>
          <w:b/>
        </w:rPr>
        <w:t>Холодова И.Н.,</w:t>
      </w:r>
      <w:r>
        <w:t xml:space="preserve"> Скоробогатова Е.В. (20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AC0224">
      <w:pPr>
        <w:spacing w:after="0" w:line="240" w:lineRule="auto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lastRenderedPageBreak/>
        <w:pict>
          <v:rect id="_x0000_i1032" style="width:0;height:1.5pt" o:hralign="center" o:hrstd="t" o:hr="t" fillcolor="#a0a0a0" stroked="f"/>
        </w:pic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bookmarkStart w:id="2" w:name="_heading=h.30j0zll" w:colFirst="0" w:colLast="0"/>
      <w:bookmarkEnd w:id="2"/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14:30-16:00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31849B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Симпозиум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31849B"/>
        </w:rPr>
      </w:pPr>
      <w:r>
        <w:rPr>
          <w:rFonts w:ascii="Trebuchet MS" w:eastAsia="Trebuchet MS" w:hAnsi="Trebuchet MS" w:cs="Trebuchet MS"/>
          <w:b/>
          <w:color w:val="31849B"/>
          <w:sz w:val="28"/>
          <w:szCs w:val="28"/>
        </w:rPr>
        <w:t>Детская гастроэнтерология</w:t>
      </w:r>
    </w:p>
    <w:p w:rsidR="00895553" w:rsidRDefault="00566816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rPr>
          <w:rFonts w:ascii="Trebuchet MS" w:eastAsia="Trebuchet MS" w:hAnsi="Trebuchet MS" w:cs="Trebuchet MS"/>
          <w:i/>
          <w:color w:val="808080"/>
        </w:rPr>
        <w:t>Модератор: Захарова И.Н.</w:t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Вредные привычки и нарушения питания как причина развития </w:t>
      </w:r>
      <w:proofErr w:type="spellStart"/>
      <w:r>
        <w:t>гиперлипидемии</w:t>
      </w:r>
      <w:proofErr w:type="spellEnd"/>
      <w:r>
        <w:t xml:space="preserve"> у детей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</w:rPr>
        <w:t>Пшеничникова</w:t>
      </w:r>
      <w:proofErr w:type="spellEnd"/>
      <w:r>
        <w:rPr>
          <w:b/>
        </w:rPr>
        <w:t xml:space="preserve"> И.И.</w:t>
      </w:r>
      <w:r>
        <w:t xml:space="preserve"> (25 мин.)</w:t>
      </w:r>
      <w:r>
        <w:tab/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Подходы к ведению детей с запорами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>*При поддержке ООО «</w:t>
      </w:r>
      <w:proofErr w:type="spellStart"/>
      <w:r>
        <w:rPr>
          <w:i/>
        </w:rPr>
        <w:t>ОпеллаХелскеа</w:t>
      </w:r>
      <w:proofErr w:type="spellEnd"/>
      <w:r>
        <w:rPr>
          <w:i/>
        </w:rPr>
        <w:t xml:space="preserve">» </w:t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 xml:space="preserve">Захарова И.Н., </w:t>
      </w:r>
      <w:r>
        <w:t>Бережная И.В. (30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Как усмирить повышенный аппетит подростка с метаболическим синдромом?</w:t>
      </w:r>
      <w:r>
        <w:tab/>
      </w: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</w:rPr>
        <w:t>Пшеничникова</w:t>
      </w:r>
      <w:proofErr w:type="spellEnd"/>
      <w:r>
        <w:rPr>
          <w:b/>
        </w:rPr>
        <w:t xml:space="preserve"> И.И. </w:t>
      </w:r>
      <w:r>
        <w:t>(25 мин.)</w:t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Дискуссия (10 мин.)</w:t>
      </w:r>
      <w:r>
        <w:tab/>
      </w:r>
    </w:p>
    <w:p w:rsidR="00895553" w:rsidRDefault="00895553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</w:p>
    <w:p w:rsidR="00895553" w:rsidRDefault="00AC0224">
      <w:pPr>
        <w:spacing w:after="0" w:line="240" w:lineRule="auto"/>
        <w:jc w:val="both"/>
        <w:rPr>
          <w:rFonts w:ascii="Trebuchet MS" w:eastAsia="Trebuchet MS" w:hAnsi="Trebuchet MS" w:cs="Trebuchet MS"/>
          <w:i/>
          <w:color w:val="808080"/>
        </w:rPr>
      </w:pPr>
      <w:r>
        <w:pict>
          <v:rect id="_x0000_i1033" style="width:0;height:1.5pt" o:hralign="center" o:hrstd="t" o:hr="t" fillcolor="#a0a0a0" stroked="f"/>
        </w:pict>
      </w:r>
    </w:p>
    <w:p w:rsidR="00895553" w:rsidRDefault="00895553">
      <w:pPr>
        <w:rPr>
          <w:rFonts w:ascii="Trebuchet MS" w:eastAsia="Trebuchet MS" w:hAnsi="Trebuchet MS" w:cs="Trebuchet MS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566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95553" w:rsidRDefault="00895553">
      <w:pPr>
        <w:tabs>
          <w:tab w:val="left" w:pos="1560"/>
        </w:tabs>
        <w:rPr>
          <w:rFonts w:ascii="Trebuchet MS" w:eastAsia="Trebuchet MS" w:hAnsi="Trebuchet MS" w:cs="Trebuchet MS"/>
        </w:rPr>
      </w:pPr>
    </w:p>
    <w:sectPr w:rsidR="00895553" w:rsidSect="00AC0224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95553"/>
    <w:rsid w:val="00566816"/>
    <w:rsid w:val="006B533E"/>
    <w:rsid w:val="00895553"/>
    <w:rsid w:val="00A0628E"/>
    <w:rsid w:val="00AC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24"/>
  </w:style>
  <w:style w:type="paragraph" w:styleId="1">
    <w:name w:val="heading 1"/>
    <w:basedOn w:val="a"/>
    <w:next w:val="a"/>
    <w:rsid w:val="00AC02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9A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069A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rsid w:val="00AC02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C02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C02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0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C02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C02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C02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C02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F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68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7069A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69A"/>
    <w:rPr>
      <w:rFonts w:ascii="Calibri" w:eastAsiaTheme="minorEastAsia" w:hAnsi="Calibri" w:cs="Calibri"/>
      <w:b/>
      <w:sz w:val="28"/>
      <w:szCs w:val="28"/>
      <w:lang w:eastAsia="ru-RU"/>
    </w:rPr>
  </w:style>
  <w:style w:type="paragraph" w:styleId="a6">
    <w:name w:val="Subtitle"/>
    <w:basedOn w:val="a"/>
    <w:next w:val="a"/>
    <w:rsid w:val="00AC02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9E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225"/>
  </w:style>
  <w:style w:type="paragraph" w:styleId="a9">
    <w:name w:val="footer"/>
    <w:basedOn w:val="a"/>
    <w:link w:val="aa"/>
    <w:uiPriority w:val="99"/>
    <w:unhideWhenUsed/>
    <w:rsid w:val="009E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225"/>
  </w:style>
  <w:style w:type="paragraph" w:styleId="ab">
    <w:name w:val="Balloon Text"/>
    <w:basedOn w:val="a"/>
    <w:link w:val="ac"/>
    <w:uiPriority w:val="99"/>
    <w:semiHidden/>
    <w:unhideWhenUsed/>
    <w:rsid w:val="00A0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GLcp8SBxTKlTl/rH71mqng3xw==">CgMxLjAyCGguZ2pkZ3hzMgloLjMwajB6bGw4AHIhMU1lQ0ttc1lGd1pTY3pUZ0pDRDNfNnQ5UlJqMzFwY09Z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mezenovatv</cp:lastModifiedBy>
  <cp:revision>2</cp:revision>
  <dcterms:created xsi:type="dcterms:W3CDTF">2023-12-22T08:28:00Z</dcterms:created>
  <dcterms:modified xsi:type="dcterms:W3CDTF">2023-12-22T08:28:00Z</dcterms:modified>
</cp:coreProperties>
</file>